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8C6" w:rsidRDefault="008947EC" w:rsidP="000508C6">
      <w:pPr>
        <w:autoSpaceDE w:val="0"/>
        <w:autoSpaceDN w:val="0"/>
        <w:adjustRightInd w:val="0"/>
        <w:spacing w:after="0" w:line="240" w:lineRule="auto"/>
        <w:jc w:val="center"/>
        <w:rPr>
          <w:rFonts w:ascii="Times New Roman" w:hAnsi="Times New Roman" w:cs="Times New Roman"/>
          <w:b/>
          <w:bCs/>
          <w:sz w:val="29"/>
          <w:szCs w:val="29"/>
        </w:rPr>
      </w:pPr>
      <w:r>
        <w:rPr>
          <w:rFonts w:ascii="Times New Roman" w:hAnsi="Times New Roman" w:cs="Times New Roman"/>
          <w:b/>
          <w:bCs/>
          <w:sz w:val="29"/>
          <w:szCs w:val="29"/>
        </w:rPr>
        <w:br/>
      </w:r>
      <w:r w:rsidR="000508C6">
        <w:rPr>
          <w:rFonts w:ascii="Times New Roman" w:hAnsi="Times New Roman" w:cs="Times New Roman"/>
          <w:b/>
          <w:bCs/>
          <w:sz w:val="29"/>
          <w:szCs w:val="29"/>
        </w:rPr>
        <w:t>MEMORIA DESCRIPTIVA</w:t>
      </w:r>
    </w:p>
    <w:p w:rsidR="000508C6" w:rsidRDefault="000508C6" w:rsidP="000508C6">
      <w:pPr>
        <w:autoSpaceDE w:val="0"/>
        <w:autoSpaceDN w:val="0"/>
        <w:adjustRightInd w:val="0"/>
        <w:spacing w:after="0" w:line="240" w:lineRule="auto"/>
        <w:rPr>
          <w:rFonts w:ascii="Times New Roman" w:hAnsi="Times New Roman" w:cs="Times New Roman"/>
          <w:b/>
          <w:bCs/>
          <w:sz w:val="29"/>
          <w:szCs w:val="29"/>
        </w:rPr>
      </w:pPr>
    </w:p>
    <w:p w:rsidR="000508C6" w:rsidRPr="008947EC" w:rsidRDefault="000508C6" w:rsidP="000508C6">
      <w:pPr>
        <w:autoSpaceDE w:val="0"/>
        <w:autoSpaceDN w:val="0"/>
        <w:adjustRightInd w:val="0"/>
        <w:spacing w:after="0" w:line="240" w:lineRule="auto"/>
        <w:rPr>
          <w:rFonts w:ascii="Times New Roman" w:hAnsi="Times New Roman" w:cs="Times New Roman"/>
          <w:b/>
          <w:bCs/>
          <w:sz w:val="32"/>
          <w:szCs w:val="23"/>
        </w:rPr>
      </w:pPr>
      <w:r w:rsidRPr="008947EC">
        <w:rPr>
          <w:rFonts w:ascii="Times New Roman" w:hAnsi="Times New Roman" w:cs="Times New Roman"/>
          <w:b/>
          <w:bCs/>
          <w:sz w:val="32"/>
          <w:szCs w:val="23"/>
        </w:rPr>
        <w:t>1. Relevamiento de Hallazgos</w:t>
      </w:r>
    </w:p>
    <w:p w:rsidR="000508C6" w:rsidRPr="008947EC" w:rsidRDefault="000508C6" w:rsidP="000508C6">
      <w:pPr>
        <w:autoSpaceDE w:val="0"/>
        <w:autoSpaceDN w:val="0"/>
        <w:adjustRightInd w:val="0"/>
        <w:spacing w:after="0" w:line="240" w:lineRule="auto"/>
        <w:rPr>
          <w:rFonts w:ascii="Times New Roman" w:hAnsi="Times New Roman" w:cs="Times New Roman"/>
          <w:sz w:val="23"/>
          <w:szCs w:val="23"/>
        </w:rPr>
      </w:pPr>
      <w:r w:rsidRPr="008947EC">
        <w:rPr>
          <w:rFonts w:ascii="Times New Roman" w:hAnsi="Times New Roman" w:cs="Times New Roman"/>
          <w:sz w:val="23"/>
          <w:szCs w:val="23"/>
        </w:rPr>
        <w:t>Durante el recorrido, se identificaron las siguientes condiciones operativas:</w:t>
      </w:r>
    </w:p>
    <w:p w:rsidR="000508C6" w:rsidRPr="008947EC" w:rsidRDefault="000508C6" w:rsidP="000508C6">
      <w:pPr>
        <w:autoSpaceDE w:val="0"/>
        <w:autoSpaceDN w:val="0"/>
        <w:adjustRightInd w:val="0"/>
        <w:spacing w:after="0" w:line="240" w:lineRule="auto"/>
        <w:rPr>
          <w:rFonts w:ascii="Times New Roman" w:hAnsi="Times New Roman" w:cs="Times New Roman"/>
          <w:sz w:val="23"/>
          <w:szCs w:val="23"/>
        </w:rPr>
      </w:pPr>
      <w:r w:rsidRPr="008947EC">
        <w:rPr>
          <w:rFonts w:ascii="Times New Roman" w:hAnsi="Times New Roman" w:cs="Times New Roman"/>
          <w:b/>
          <w:bCs/>
          <w:sz w:val="23"/>
          <w:szCs w:val="23"/>
        </w:rPr>
        <w:t xml:space="preserve">Sector Pañol: </w:t>
      </w:r>
      <w:r w:rsidRPr="008947EC">
        <w:rPr>
          <w:rFonts w:ascii="Times New Roman" w:hAnsi="Times New Roman" w:cs="Times New Roman"/>
          <w:sz w:val="23"/>
          <w:szCs w:val="23"/>
        </w:rPr>
        <w:t xml:space="preserve">Se detectaron cuatro (4) unidades de almacenamiento (tambores de 205 L) que contienen lubricantes semisintéticos (10W-40) y fluido hidráulico. Si bien cuentan con el rotulado reglamentario, se constató una </w:t>
      </w:r>
      <w:r w:rsidRPr="008947EC">
        <w:rPr>
          <w:rFonts w:ascii="Times New Roman" w:hAnsi="Times New Roman" w:cs="Times New Roman"/>
          <w:b/>
          <w:bCs/>
          <w:sz w:val="23"/>
          <w:szCs w:val="23"/>
        </w:rPr>
        <w:t xml:space="preserve">filtración activa </w:t>
      </w:r>
      <w:r w:rsidRPr="008947EC">
        <w:rPr>
          <w:rFonts w:ascii="Times New Roman" w:hAnsi="Times New Roman" w:cs="Times New Roman"/>
          <w:sz w:val="23"/>
          <w:szCs w:val="23"/>
        </w:rPr>
        <w:t>bajo una de las unidades. Actualmente, dicha contingencia se encuentra mitigada de forma provisoria mediante material absorbente.</w:t>
      </w:r>
      <w:r w:rsidRPr="008947EC">
        <w:rPr>
          <w:rFonts w:ascii="Times New Roman" w:hAnsi="Times New Roman" w:cs="Times New Roman"/>
          <w:sz w:val="23"/>
          <w:szCs w:val="23"/>
        </w:rPr>
        <w:br/>
      </w:r>
    </w:p>
    <w:p w:rsidR="000508C6" w:rsidRPr="008947EC" w:rsidRDefault="000508C6" w:rsidP="000508C6">
      <w:pPr>
        <w:autoSpaceDE w:val="0"/>
        <w:autoSpaceDN w:val="0"/>
        <w:adjustRightInd w:val="0"/>
        <w:spacing w:after="0" w:line="240" w:lineRule="auto"/>
        <w:rPr>
          <w:rFonts w:ascii="Times New Roman" w:hAnsi="Times New Roman" w:cs="Times New Roman"/>
          <w:sz w:val="23"/>
          <w:szCs w:val="23"/>
        </w:rPr>
      </w:pPr>
      <w:r w:rsidRPr="008947EC">
        <w:rPr>
          <w:rFonts w:ascii="Times New Roman" w:hAnsi="Times New Roman" w:cs="Times New Roman"/>
          <w:b/>
          <w:bCs/>
          <w:sz w:val="23"/>
          <w:szCs w:val="23"/>
        </w:rPr>
        <w:t xml:space="preserve">Sector Exterior: </w:t>
      </w:r>
      <w:r w:rsidRPr="008947EC">
        <w:rPr>
          <w:rFonts w:ascii="Times New Roman" w:hAnsi="Times New Roman" w:cs="Times New Roman"/>
          <w:sz w:val="23"/>
          <w:szCs w:val="23"/>
        </w:rPr>
        <w:t xml:space="preserve">Se localizaron dos (2) unidades de 205 L destinadas al acopio de aceites y fluidos de descarte. En este punto se observó un </w:t>
      </w:r>
      <w:r w:rsidRPr="008947EC">
        <w:rPr>
          <w:rFonts w:ascii="Times New Roman" w:hAnsi="Times New Roman" w:cs="Times New Roman"/>
          <w:b/>
          <w:bCs/>
          <w:sz w:val="23"/>
          <w:szCs w:val="23"/>
        </w:rPr>
        <w:t>derrame de gran magnitud</w:t>
      </w:r>
      <w:r w:rsidRPr="008947EC">
        <w:rPr>
          <w:rFonts w:ascii="Times New Roman" w:hAnsi="Times New Roman" w:cs="Times New Roman"/>
          <w:sz w:val="23"/>
          <w:szCs w:val="23"/>
        </w:rPr>
        <w:t>, el cual carece de sistemas de contención primaria (bateas) o secundaria, exponiendo el sustrato de manera directa.</w:t>
      </w:r>
      <w:r w:rsidRPr="008947EC">
        <w:rPr>
          <w:rFonts w:ascii="Times New Roman" w:hAnsi="Times New Roman" w:cs="Times New Roman"/>
          <w:sz w:val="23"/>
          <w:szCs w:val="23"/>
        </w:rPr>
        <w:br/>
      </w:r>
    </w:p>
    <w:p w:rsidR="000508C6" w:rsidRPr="008947EC" w:rsidRDefault="000508C6" w:rsidP="000508C6">
      <w:pPr>
        <w:autoSpaceDE w:val="0"/>
        <w:autoSpaceDN w:val="0"/>
        <w:adjustRightInd w:val="0"/>
        <w:spacing w:after="0" w:line="240" w:lineRule="auto"/>
        <w:rPr>
          <w:rFonts w:ascii="Times New Roman" w:hAnsi="Times New Roman" w:cs="Times New Roman"/>
          <w:b/>
          <w:bCs/>
          <w:sz w:val="23"/>
          <w:szCs w:val="23"/>
        </w:rPr>
      </w:pPr>
      <w:r w:rsidRPr="008947EC">
        <w:rPr>
          <w:rFonts w:ascii="Times New Roman" w:hAnsi="Times New Roman" w:cs="Times New Roman"/>
          <w:b/>
          <w:bCs/>
          <w:sz w:val="32"/>
          <w:szCs w:val="23"/>
        </w:rPr>
        <w:t>2. Marco Legal y Caracterización de Riesgos</w:t>
      </w:r>
      <w:r w:rsidRPr="008947EC">
        <w:rPr>
          <w:rFonts w:ascii="Times New Roman" w:hAnsi="Times New Roman" w:cs="Times New Roman"/>
          <w:b/>
          <w:bCs/>
          <w:sz w:val="23"/>
          <w:szCs w:val="23"/>
        </w:rPr>
        <w:br/>
      </w:r>
    </w:p>
    <w:p w:rsidR="000508C6" w:rsidRPr="008947EC" w:rsidRDefault="000508C6" w:rsidP="000508C6">
      <w:pPr>
        <w:autoSpaceDE w:val="0"/>
        <w:autoSpaceDN w:val="0"/>
        <w:adjustRightInd w:val="0"/>
        <w:spacing w:after="0" w:line="240" w:lineRule="auto"/>
        <w:rPr>
          <w:rFonts w:ascii="Times New Roman" w:hAnsi="Times New Roman" w:cs="Times New Roman"/>
          <w:sz w:val="23"/>
          <w:szCs w:val="23"/>
        </w:rPr>
      </w:pPr>
      <w:r w:rsidRPr="008947EC">
        <w:rPr>
          <w:rFonts w:ascii="Times New Roman" w:hAnsi="Times New Roman" w:cs="Times New Roman"/>
          <w:sz w:val="23"/>
          <w:szCs w:val="23"/>
        </w:rPr>
        <w:t xml:space="preserve">Los fluidos involucrados se encuentran tipificados como </w:t>
      </w:r>
      <w:r w:rsidRPr="008947EC">
        <w:rPr>
          <w:rFonts w:ascii="Times New Roman" w:hAnsi="Times New Roman" w:cs="Times New Roman"/>
          <w:b/>
          <w:bCs/>
          <w:sz w:val="23"/>
          <w:szCs w:val="23"/>
        </w:rPr>
        <w:t xml:space="preserve">Residuos Peligrosos </w:t>
      </w:r>
      <w:r w:rsidRPr="008947EC">
        <w:rPr>
          <w:rFonts w:ascii="Times New Roman" w:hAnsi="Times New Roman" w:cs="Times New Roman"/>
          <w:sz w:val="23"/>
          <w:szCs w:val="23"/>
        </w:rPr>
        <w:t xml:space="preserve">bajo la </w:t>
      </w:r>
      <w:r w:rsidRPr="008947EC">
        <w:rPr>
          <w:rFonts w:ascii="Times New Roman" w:hAnsi="Times New Roman" w:cs="Times New Roman"/>
          <w:b/>
          <w:bCs/>
          <w:sz w:val="23"/>
          <w:szCs w:val="23"/>
        </w:rPr>
        <w:t>Ley 24.051</w:t>
      </w:r>
      <w:r w:rsidRPr="008947EC">
        <w:rPr>
          <w:rFonts w:ascii="Times New Roman" w:hAnsi="Times New Roman" w:cs="Times New Roman"/>
          <w:sz w:val="23"/>
          <w:szCs w:val="23"/>
        </w:rPr>
        <w:t>, encuadrando en las siguientes categorías de control:</w:t>
      </w:r>
      <w:r w:rsidRPr="008947EC">
        <w:rPr>
          <w:rFonts w:ascii="Times New Roman" w:hAnsi="Times New Roman" w:cs="Times New Roman"/>
          <w:sz w:val="23"/>
          <w:szCs w:val="23"/>
        </w:rPr>
        <w:br/>
      </w:r>
    </w:p>
    <w:p w:rsidR="000508C6" w:rsidRPr="008947EC" w:rsidRDefault="000508C6" w:rsidP="000508C6">
      <w:pPr>
        <w:autoSpaceDE w:val="0"/>
        <w:autoSpaceDN w:val="0"/>
        <w:adjustRightInd w:val="0"/>
        <w:spacing w:after="0" w:line="240" w:lineRule="auto"/>
        <w:rPr>
          <w:rFonts w:ascii="Times New Roman" w:hAnsi="Times New Roman" w:cs="Times New Roman"/>
          <w:sz w:val="23"/>
          <w:szCs w:val="23"/>
        </w:rPr>
      </w:pPr>
      <w:r w:rsidRPr="008947EC">
        <w:rPr>
          <w:rFonts w:ascii="Times New Roman" w:hAnsi="Times New Roman" w:cs="Times New Roman"/>
          <w:b/>
          <w:bCs/>
          <w:sz w:val="23"/>
          <w:szCs w:val="23"/>
        </w:rPr>
        <w:t xml:space="preserve">Categoría de peligrosidad : </w:t>
      </w:r>
      <w:r w:rsidRPr="008947EC">
        <w:rPr>
          <w:rFonts w:ascii="Times New Roman" w:hAnsi="Times New Roman" w:cs="Times New Roman"/>
          <w:sz w:val="23"/>
          <w:szCs w:val="23"/>
        </w:rPr>
        <w:t>Y8 (Aceites minerales exhaustos) e Y9 (Mezclas y emulsiones de hidrocarburos/agua).</w:t>
      </w:r>
      <w:r w:rsidRPr="008947EC">
        <w:rPr>
          <w:rFonts w:ascii="Times New Roman" w:hAnsi="Times New Roman" w:cs="Times New Roman"/>
          <w:sz w:val="23"/>
          <w:szCs w:val="23"/>
        </w:rPr>
        <w:br/>
      </w:r>
    </w:p>
    <w:p w:rsidR="000508C6" w:rsidRPr="008947EC" w:rsidRDefault="000508C6" w:rsidP="000508C6">
      <w:pPr>
        <w:autoSpaceDE w:val="0"/>
        <w:autoSpaceDN w:val="0"/>
        <w:adjustRightInd w:val="0"/>
        <w:spacing w:after="0" w:line="240" w:lineRule="auto"/>
        <w:rPr>
          <w:rFonts w:ascii="Times New Roman" w:hAnsi="Times New Roman" w:cs="Times New Roman"/>
          <w:sz w:val="23"/>
          <w:szCs w:val="23"/>
        </w:rPr>
      </w:pPr>
      <w:r w:rsidRPr="008947EC">
        <w:rPr>
          <w:rFonts w:ascii="Times New Roman" w:hAnsi="Times New Roman" w:cs="Times New Roman"/>
          <w:b/>
          <w:bCs/>
          <w:sz w:val="23"/>
          <w:szCs w:val="23"/>
        </w:rPr>
        <w:t xml:space="preserve">Características de peligrosidad: </w:t>
      </w:r>
      <w:r w:rsidRPr="008947EC">
        <w:rPr>
          <w:rFonts w:ascii="Times New Roman" w:hAnsi="Times New Roman" w:cs="Times New Roman"/>
          <w:sz w:val="23"/>
          <w:szCs w:val="23"/>
        </w:rPr>
        <w:t>H11 (Sustancias tóxicas con potencial de bioacumulación) y H13 (Sustancias susceptibles de generar lixiviados peligrosos).</w:t>
      </w:r>
      <w:r w:rsidRPr="008947EC">
        <w:rPr>
          <w:rFonts w:ascii="Times New Roman" w:hAnsi="Times New Roman" w:cs="Times New Roman"/>
          <w:sz w:val="23"/>
          <w:szCs w:val="23"/>
        </w:rPr>
        <w:br/>
      </w:r>
    </w:p>
    <w:p w:rsidR="000508C6" w:rsidRPr="008947EC" w:rsidRDefault="000508C6" w:rsidP="000508C6">
      <w:pPr>
        <w:autoSpaceDE w:val="0"/>
        <w:autoSpaceDN w:val="0"/>
        <w:adjustRightInd w:val="0"/>
        <w:spacing w:after="0" w:line="240" w:lineRule="auto"/>
        <w:rPr>
          <w:rFonts w:ascii="Times New Roman" w:hAnsi="Times New Roman" w:cs="Times New Roman"/>
          <w:sz w:val="23"/>
          <w:szCs w:val="23"/>
        </w:rPr>
      </w:pPr>
      <w:r w:rsidRPr="008947EC">
        <w:rPr>
          <w:rFonts w:ascii="Times New Roman" w:hAnsi="Times New Roman" w:cs="Times New Roman"/>
          <w:b/>
          <w:bCs/>
          <w:sz w:val="23"/>
          <w:szCs w:val="23"/>
        </w:rPr>
        <w:t xml:space="preserve">Impacto Estructural y Ambiental: </w:t>
      </w:r>
      <w:r w:rsidRPr="008947EC">
        <w:rPr>
          <w:rFonts w:ascii="Times New Roman" w:hAnsi="Times New Roman" w:cs="Times New Roman"/>
          <w:sz w:val="23"/>
          <w:szCs w:val="23"/>
        </w:rPr>
        <w:t xml:space="preserve">Se destaca que el derrame exterior se sitúa sobre una superficie pavimentada cuya impermeabilidad no es absoluta. La interacción química de los hidrocarburos actúa como disolvente de los ligantes asfálticos, lo que deriva en la </w:t>
      </w:r>
      <w:r w:rsidRPr="008947EC">
        <w:rPr>
          <w:rFonts w:ascii="Times New Roman" w:hAnsi="Times New Roman" w:cs="Times New Roman"/>
          <w:b/>
          <w:bCs/>
          <w:sz w:val="23"/>
          <w:szCs w:val="23"/>
        </w:rPr>
        <w:t xml:space="preserve">degradación de la matriz estructural </w:t>
      </w:r>
      <w:r w:rsidRPr="008947EC">
        <w:rPr>
          <w:rFonts w:ascii="Times New Roman" w:hAnsi="Times New Roman" w:cs="Times New Roman"/>
          <w:sz w:val="23"/>
          <w:szCs w:val="23"/>
        </w:rPr>
        <w:t>y la consecuente formación de baches. Asimismo, la proximidad crítica a la cisterna de agua potable representa un riesgo de contaminación hídrica exponencial, considerando que un solo litro de aceite puede comprometer la aptitud de hasta 1.000.000 de litros de agua.</w:t>
      </w:r>
      <w:r w:rsidRPr="008947EC">
        <w:rPr>
          <w:rFonts w:ascii="Times New Roman" w:hAnsi="Times New Roman" w:cs="Times New Roman"/>
          <w:sz w:val="23"/>
          <w:szCs w:val="23"/>
        </w:rPr>
        <w:br/>
      </w:r>
    </w:p>
    <w:p w:rsidR="000508C6" w:rsidRPr="008947EC" w:rsidRDefault="000508C6" w:rsidP="000508C6">
      <w:pPr>
        <w:autoSpaceDE w:val="0"/>
        <w:autoSpaceDN w:val="0"/>
        <w:adjustRightInd w:val="0"/>
        <w:spacing w:after="0" w:line="240" w:lineRule="auto"/>
        <w:rPr>
          <w:rFonts w:ascii="Times New Roman" w:hAnsi="Times New Roman" w:cs="Times New Roman"/>
          <w:b/>
          <w:bCs/>
          <w:sz w:val="32"/>
          <w:szCs w:val="23"/>
        </w:rPr>
      </w:pPr>
      <w:r w:rsidRPr="008947EC">
        <w:rPr>
          <w:rFonts w:ascii="Times New Roman" w:hAnsi="Times New Roman" w:cs="Times New Roman"/>
          <w:b/>
          <w:bCs/>
          <w:sz w:val="32"/>
          <w:szCs w:val="23"/>
        </w:rPr>
        <w:t>3. Plan de Acción y Medidas Correctivas</w:t>
      </w:r>
      <w:bookmarkStart w:id="0" w:name="_GoBack"/>
      <w:bookmarkEnd w:id="0"/>
    </w:p>
    <w:p w:rsidR="000508C6" w:rsidRPr="008947EC" w:rsidRDefault="000508C6" w:rsidP="000508C6">
      <w:pPr>
        <w:autoSpaceDE w:val="0"/>
        <w:autoSpaceDN w:val="0"/>
        <w:adjustRightInd w:val="0"/>
        <w:spacing w:after="0" w:line="240" w:lineRule="auto"/>
        <w:rPr>
          <w:rFonts w:ascii="Times New Roman" w:hAnsi="Times New Roman" w:cs="Times New Roman"/>
          <w:sz w:val="23"/>
          <w:szCs w:val="23"/>
        </w:rPr>
      </w:pPr>
      <w:r w:rsidRPr="008947EC">
        <w:rPr>
          <w:rFonts w:ascii="Times New Roman" w:hAnsi="Times New Roman" w:cs="Times New Roman"/>
          <w:sz w:val="23"/>
          <w:szCs w:val="23"/>
        </w:rPr>
        <w:t>A fin de mitigar el riesgo y normalizar la operación, se instruye la ejecución inmediata de las siguientes directrices:</w:t>
      </w:r>
      <w:r w:rsidRPr="008947EC">
        <w:rPr>
          <w:rFonts w:ascii="Times New Roman" w:hAnsi="Times New Roman" w:cs="Times New Roman"/>
          <w:sz w:val="23"/>
          <w:szCs w:val="23"/>
        </w:rPr>
        <w:br/>
      </w:r>
    </w:p>
    <w:p w:rsidR="000508C6" w:rsidRPr="008947EC" w:rsidRDefault="000508C6" w:rsidP="000508C6">
      <w:pPr>
        <w:autoSpaceDE w:val="0"/>
        <w:autoSpaceDN w:val="0"/>
        <w:adjustRightInd w:val="0"/>
        <w:spacing w:after="0" w:line="240" w:lineRule="auto"/>
        <w:rPr>
          <w:rFonts w:ascii="Times New Roman" w:hAnsi="Times New Roman" w:cs="Times New Roman"/>
          <w:sz w:val="23"/>
          <w:szCs w:val="23"/>
        </w:rPr>
      </w:pPr>
      <w:r w:rsidRPr="008947EC">
        <w:rPr>
          <w:rFonts w:ascii="Times New Roman" w:hAnsi="Times New Roman" w:cs="Times New Roman"/>
          <w:sz w:val="23"/>
          <w:szCs w:val="23"/>
        </w:rPr>
        <w:t xml:space="preserve">1. </w:t>
      </w:r>
      <w:r w:rsidRPr="008947EC">
        <w:rPr>
          <w:rFonts w:ascii="Times New Roman" w:hAnsi="Times New Roman" w:cs="Times New Roman"/>
          <w:b/>
          <w:bCs/>
          <w:sz w:val="23"/>
          <w:szCs w:val="23"/>
        </w:rPr>
        <w:t xml:space="preserve">Confinamiento: </w:t>
      </w:r>
      <w:r w:rsidRPr="008947EC">
        <w:rPr>
          <w:rFonts w:ascii="Times New Roman" w:hAnsi="Times New Roman" w:cs="Times New Roman"/>
          <w:sz w:val="23"/>
          <w:szCs w:val="23"/>
        </w:rPr>
        <w:t>Implementar bateas de contención de material impermeable con capacidad suficiente para el volumen almacenado bajo todos los recipientes de fluidos.</w:t>
      </w:r>
      <w:r w:rsidRPr="008947EC">
        <w:rPr>
          <w:rFonts w:ascii="Times New Roman" w:hAnsi="Times New Roman" w:cs="Times New Roman"/>
          <w:sz w:val="23"/>
          <w:szCs w:val="23"/>
        </w:rPr>
        <w:br/>
      </w:r>
    </w:p>
    <w:p w:rsidR="000508C6" w:rsidRPr="008947EC" w:rsidRDefault="000508C6" w:rsidP="000508C6">
      <w:pPr>
        <w:autoSpaceDE w:val="0"/>
        <w:autoSpaceDN w:val="0"/>
        <w:adjustRightInd w:val="0"/>
        <w:spacing w:after="0" w:line="240" w:lineRule="auto"/>
        <w:rPr>
          <w:rFonts w:ascii="Times New Roman" w:hAnsi="Times New Roman" w:cs="Times New Roman"/>
          <w:sz w:val="23"/>
          <w:szCs w:val="23"/>
        </w:rPr>
      </w:pPr>
      <w:r w:rsidRPr="008947EC">
        <w:rPr>
          <w:rFonts w:ascii="Times New Roman" w:hAnsi="Times New Roman" w:cs="Times New Roman"/>
          <w:sz w:val="23"/>
          <w:szCs w:val="23"/>
        </w:rPr>
        <w:t xml:space="preserve">2. </w:t>
      </w:r>
      <w:r w:rsidRPr="008947EC">
        <w:rPr>
          <w:rFonts w:ascii="Times New Roman" w:hAnsi="Times New Roman" w:cs="Times New Roman"/>
          <w:b/>
          <w:bCs/>
          <w:sz w:val="23"/>
          <w:szCs w:val="23"/>
        </w:rPr>
        <w:t xml:space="preserve">Contención Inmediata: </w:t>
      </w:r>
      <w:r w:rsidRPr="008947EC">
        <w:rPr>
          <w:rFonts w:ascii="Times New Roman" w:hAnsi="Times New Roman" w:cs="Times New Roman"/>
          <w:sz w:val="23"/>
          <w:szCs w:val="23"/>
        </w:rPr>
        <w:t xml:space="preserve">Disponer de material absorbente granulado o barreras </w:t>
      </w:r>
      <w:proofErr w:type="spellStart"/>
      <w:r w:rsidRPr="008947EC">
        <w:rPr>
          <w:rFonts w:ascii="Times New Roman" w:hAnsi="Times New Roman" w:cs="Times New Roman"/>
          <w:sz w:val="23"/>
          <w:szCs w:val="23"/>
        </w:rPr>
        <w:t>oleofílicas</w:t>
      </w:r>
      <w:proofErr w:type="spellEnd"/>
      <w:r w:rsidRPr="008947EC">
        <w:rPr>
          <w:rFonts w:ascii="Times New Roman" w:hAnsi="Times New Roman" w:cs="Times New Roman"/>
          <w:sz w:val="23"/>
          <w:szCs w:val="23"/>
        </w:rPr>
        <w:t xml:space="preserve"> ante cualquier indicio de fuga.</w:t>
      </w:r>
      <w:r w:rsidRPr="008947EC">
        <w:rPr>
          <w:rFonts w:ascii="Times New Roman" w:hAnsi="Times New Roman" w:cs="Times New Roman"/>
          <w:sz w:val="23"/>
          <w:szCs w:val="23"/>
        </w:rPr>
        <w:br/>
      </w:r>
    </w:p>
    <w:p w:rsidR="009B5D4A" w:rsidRPr="008947EC" w:rsidRDefault="000508C6" w:rsidP="000508C6">
      <w:pPr>
        <w:autoSpaceDE w:val="0"/>
        <w:autoSpaceDN w:val="0"/>
        <w:adjustRightInd w:val="0"/>
        <w:spacing w:after="0" w:line="240" w:lineRule="auto"/>
        <w:rPr>
          <w:sz w:val="23"/>
          <w:szCs w:val="23"/>
        </w:rPr>
      </w:pPr>
      <w:r w:rsidRPr="008947EC">
        <w:rPr>
          <w:rFonts w:ascii="Times New Roman" w:hAnsi="Times New Roman" w:cs="Times New Roman"/>
          <w:sz w:val="23"/>
          <w:szCs w:val="23"/>
        </w:rPr>
        <w:t xml:space="preserve">3. </w:t>
      </w:r>
      <w:r w:rsidRPr="008947EC">
        <w:rPr>
          <w:rFonts w:ascii="Times New Roman" w:hAnsi="Times New Roman" w:cs="Times New Roman"/>
          <w:b/>
          <w:bCs/>
          <w:sz w:val="23"/>
          <w:szCs w:val="23"/>
        </w:rPr>
        <w:t xml:space="preserve">Remediación de Superficies: </w:t>
      </w:r>
      <w:r w:rsidRPr="008947EC">
        <w:rPr>
          <w:rFonts w:ascii="Times New Roman" w:hAnsi="Times New Roman" w:cs="Times New Roman"/>
          <w:sz w:val="23"/>
          <w:szCs w:val="23"/>
        </w:rPr>
        <w:t>Tras la remoción del material saturado, se deberá proceder al lavado de las áreas afectadas mediante el uso de agentes desengrasantes industriales y agua a temperatura, empleando acción mecánica (cepillado circular) para asegurar la desorción del contaminante en los poros del pavimento.</w:t>
      </w:r>
    </w:p>
    <w:sectPr w:rsidR="009B5D4A" w:rsidRPr="008947EC">
      <w:headerReference w:type="default" r:id="rId6"/>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0B38" w:rsidRDefault="00E60B38" w:rsidP="008947EC">
      <w:pPr>
        <w:spacing w:after="0" w:line="240" w:lineRule="auto"/>
      </w:pPr>
      <w:r>
        <w:separator/>
      </w:r>
    </w:p>
  </w:endnote>
  <w:endnote w:type="continuationSeparator" w:id="0">
    <w:p w:rsidR="00E60B38" w:rsidRDefault="00E60B38" w:rsidP="008947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0B38" w:rsidRDefault="00E60B38" w:rsidP="008947EC">
      <w:pPr>
        <w:spacing w:after="0" w:line="240" w:lineRule="auto"/>
      </w:pPr>
      <w:r>
        <w:separator/>
      </w:r>
    </w:p>
  </w:footnote>
  <w:footnote w:type="continuationSeparator" w:id="0">
    <w:p w:rsidR="00E60B38" w:rsidRDefault="00E60B38" w:rsidP="008947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47EC" w:rsidRDefault="008947EC">
    <w:pPr>
      <w:pStyle w:val="Encabezado"/>
    </w:pPr>
    <w:r>
      <w:rPr>
        <w:noProof/>
        <w:lang w:eastAsia="es-AR"/>
      </w:rPr>
      <w:drawing>
        <wp:inline distT="0" distB="0" distL="0" distR="0">
          <wp:extent cx="5400040" cy="740192"/>
          <wp:effectExtent l="0" t="0" r="0" b="3175"/>
          <wp:docPr id="1" name="Imagen 1" descr="Encabezado-2026---A4---VERTICAL-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cabezado-2026---A4---VERTICAL-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740192"/>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08C6"/>
    <w:rsid w:val="000508C6"/>
    <w:rsid w:val="008947EC"/>
    <w:rsid w:val="009B5D4A"/>
    <w:rsid w:val="00E60B38"/>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9412E"/>
  <w15:chartTrackingRefBased/>
  <w15:docId w15:val="{C3E58125-8BF3-4E0E-8F42-0B645EBAF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947E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8947EC"/>
  </w:style>
  <w:style w:type="paragraph" w:styleId="Piedepgina">
    <w:name w:val="footer"/>
    <w:basedOn w:val="Normal"/>
    <w:link w:val="PiedepginaCar"/>
    <w:uiPriority w:val="99"/>
    <w:unhideWhenUsed/>
    <w:rsid w:val="008947E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9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397</Words>
  <Characters>2185</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Lucas Lamenza</dc:creator>
  <cp:keywords/>
  <dc:description/>
  <cp:lastModifiedBy>Lucas Lamenza</cp:lastModifiedBy>
  <cp:revision>2</cp:revision>
  <dcterms:created xsi:type="dcterms:W3CDTF">2026-05-21T12:58:00Z</dcterms:created>
  <dcterms:modified xsi:type="dcterms:W3CDTF">2026-05-21T13:13:00Z</dcterms:modified>
</cp:coreProperties>
</file>